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79F" w:rsidRDefault="00A2179F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A2179F" w:rsidRDefault="00A83033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Arial" w:eastAsia="Arial" w:hAnsi="Arial" w:cs="Arial"/>
          <w:b/>
          <w:sz w:val="22"/>
          <w:szCs w:val="22"/>
        </w:rPr>
        <w:t xml:space="preserve">MATERIALIDADE </w:t>
      </w:r>
    </w:p>
    <w:p w:rsidR="00A2179F" w:rsidRDefault="00A2179F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  <w:bookmarkStart w:id="2" w:name="_fyxodkw3ei32" w:colFirst="0" w:colLast="0"/>
      <w:bookmarkEnd w:id="2"/>
    </w:p>
    <w:tbl>
      <w:tblPr>
        <w:tblStyle w:val="a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7270"/>
      </w:tblGrid>
      <w:tr w:rsidR="00A2179F">
        <w:tc>
          <w:tcPr>
            <w:tcW w:w="2370" w:type="dxa"/>
            <w:shd w:val="clear" w:color="auto" w:fill="CCCCCC"/>
          </w:tcPr>
          <w:p w:rsidR="00A2179F" w:rsidRDefault="00A8303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7270" w:type="dxa"/>
            <w:shd w:val="clear" w:color="auto" w:fill="auto"/>
          </w:tcPr>
          <w:p w:rsidR="00A2179F" w:rsidRDefault="00A2179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2179F">
        <w:tc>
          <w:tcPr>
            <w:tcW w:w="2370" w:type="dxa"/>
            <w:shd w:val="clear" w:color="auto" w:fill="CCCCCC"/>
          </w:tcPr>
          <w:p w:rsidR="00A2179F" w:rsidRDefault="00A8303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7270" w:type="dxa"/>
            <w:shd w:val="clear" w:color="auto" w:fill="auto"/>
          </w:tcPr>
          <w:p w:rsidR="00A2179F" w:rsidRDefault="00A2179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2179F" w:rsidRDefault="00A2179F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0"/>
        <w:tblW w:w="96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40"/>
      </w:tblGrid>
      <w:tr w:rsidR="00A2179F">
        <w:trPr>
          <w:trHeight w:val="600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A2179F" w:rsidRDefault="00A8303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por valor (se o assunto/objeto for quantificável)</w:t>
            </w:r>
          </w:p>
        </w:tc>
      </w:tr>
      <w:tr w:rsidR="00A2179F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A2179F" w:rsidRDefault="00A8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valor:</w:t>
            </w:r>
          </w:p>
        </w:tc>
      </w:tr>
      <w:tr w:rsidR="00A2179F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A2179F" w:rsidRDefault="00A8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A2179F" w:rsidRDefault="00A217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2179F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A2179F" w:rsidRDefault="00A8303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Memória de cálculo da materialidade por valor:</w:t>
            </w:r>
          </w:p>
        </w:tc>
      </w:tr>
      <w:tr w:rsidR="00A2179F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A2179F" w:rsidRDefault="00A8303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A2179F" w:rsidRDefault="00A2179F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2179F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A2179F" w:rsidRDefault="00A8303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qualitativa</w:t>
            </w:r>
          </w:p>
        </w:tc>
      </w:tr>
      <w:tr w:rsidR="00A2179F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A2179F" w:rsidRDefault="00A8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natureza:</w:t>
            </w:r>
          </w:p>
        </w:tc>
      </w:tr>
      <w:tr w:rsidR="00A2179F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A2179F" w:rsidRDefault="00A8303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A2179F" w:rsidRDefault="00A2179F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2179F">
        <w:trPr>
          <w:trHeight w:val="33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A2179F" w:rsidRDefault="00A8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do contexto:</w:t>
            </w:r>
          </w:p>
        </w:tc>
      </w:tr>
      <w:tr w:rsidR="00A2179F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vAlign w:val="center"/>
          </w:tcPr>
          <w:p w:rsidR="00A2179F" w:rsidRDefault="00A8303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A2179F" w:rsidRDefault="00A2179F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A2179F" w:rsidRDefault="00A2179F">
      <w:pPr>
        <w:tabs>
          <w:tab w:val="center" w:pos="4252"/>
          <w:tab w:val="right" w:pos="8504"/>
        </w:tabs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645"/>
      </w:tblGrid>
      <w:tr w:rsidR="00A2179F">
        <w:tc>
          <w:tcPr>
            <w:tcW w:w="1995" w:type="dxa"/>
            <w:shd w:val="clear" w:color="auto" w:fill="CCCCCC"/>
          </w:tcPr>
          <w:p w:rsidR="00A2179F" w:rsidRDefault="00A8303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645" w:type="dxa"/>
            <w:shd w:val="clear" w:color="auto" w:fill="auto"/>
          </w:tcPr>
          <w:p w:rsidR="00A2179F" w:rsidRDefault="00A2179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2179F">
        <w:tc>
          <w:tcPr>
            <w:tcW w:w="9640" w:type="dxa"/>
            <w:gridSpan w:val="2"/>
            <w:shd w:val="clear" w:color="auto" w:fill="auto"/>
          </w:tcPr>
          <w:p w:rsidR="00A2179F" w:rsidRDefault="00A8303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A2179F" w:rsidRDefault="00A8303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2179F" w:rsidRDefault="00A8303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2179F" w:rsidRDefault="00A8303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2179F" w:rsidRDefault="00A83033">
      <w:pPr>
        <w:spacing w:before="57" w:after="57"/>
        <w:jc w:val="both"/>
        <w:rPr>
          <w:rFonts w:ascii="Arial" w:eastAsia="Arial" w:hAnsi="Arial" w:cs="Arial"/>
          <w:b/>
          <w:sz w:val="20"/>
          <w:szCs w:val="20"/>
        </w:rPr>
        <w:sectPr w:rsidR="00A217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700" w:right="1133" w:bottom="1700" w:left="1133" w:header="709" w:footer="709" w:gutter="0"/>
          <w:pgNumType w:start="1"/>
          <w:cols w:space="720"/>
        </w:sectPr>
      </w:pPr>
      <w:r>
        <w:br w:type="page"/>
      </w:r>
    </w:p>
    <w:p w:rsidR="00A2179F" w:rsidRDefault="00A83033">
      <w:pPr>
        <w:tabs>
          <w:tab w:val="center" w:pos="4252"/>
          <w:tab w:val="right" w:pos="8504"/>
        </w:tabs>
        <w:jc w:val="both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 xml:space="preserve">Orientações para preencher a definição de materialidade </w:t>
      </w:r>
    </w:p>
    <w:p w:rsidR="00A2179F" w:rsidRDefault="00A2179F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2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A2179F">
        <w:trPr>
          <w:trHeight w:val="545"/>
        </w:trPr>
        <w:tc>
          <w:tcPr>
            <w:tcW w:w="1826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objetivo de preencher este papel de trabalho é para determinar a materialidade ao planejar e executar uma auditoria, sendo esta uma parte importante da estratégia global de auditoria. A materialidade determinada na fase de planejamento pode ser revisada </w:t>
            </w:r>
            <w:r>
              <w:rPr>
                <w:rFonts w:ascii="Arial" w:eastAsia="Arial" w:hAnsi="Arial" w:cs="Arial"/>
                <w:sz w:val="16"/>
                <w:szCs w:val="16"/>
              </w:rPr>
              <w:t>conforme a auditoria avança.</w:t>
            </w:r>
          </w:p>
          <w:p w:rsidR="00A2179F" w:rsidRDefault="00A2179F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A2179F" w:rsidRDefault="00A83033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da materialidade é identificar questões de auditoria, baseadas na avaliação de risco, e garantir que qualquer não-conformidade abaixo do nível de materialidade não irá afetar a conclusão e nem o propósito para qual os relatórios são usados pelos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usuários.</w:t>
            </w:r>
          </w:p>
          <w:p w:rsidR="00A2179F" w:rsidRDefault="00A2179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2179F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4000/92</w:t>
            </w:r>
          </w:p>
        </w:tc>
      </w:tr>
      <w:tr w:rsidR="00A2179F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Em linhas gerais, o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reflete as medidas que o(s) usuário(s) da informação são mais suscetíveis a considerar importantes, incluindo dimensões relacionadas a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  <w:p w:rsidR="00A2179F" w:rsidRDefault="00A83033">
            <w:pPr>
              <w:numPr>
                <w:ilvl w:val="0"/>
                <w:numId w:val="1"/>
              </w:numPr>
              <w:spacing w:before="24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a fatores quantitativos, como o número de pessoas ou entidades afetadas pelo objeto específico ou os valores monetários envolvidos, bem como no uso indevido de recursos públicos. A materialida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de quantitativa, utilizada principalmente em trabalhos de certificação, é determinada pela aplicação de um percentual a uma referência escolhida como ponto de partida. </w:t>
            </w:r>
          </w:p>
          <w:p w:rsidR="00A2179F" w:rsidRDefault="00A2179F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A2179F" w:rsidRDefault="00A8303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com características inerentes e diz respeito a questões em que pode haver alto interesse político ou público, como por exemplo políticas públicas de interesse social ou questões previstas em legislação ou regulamentos. </w:t>
            </w:r>
          </w:p>
          <w:p w:rsidR="00A2179F" w:rsidRDefault="00A2179F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A2179F" w:rsidRDefault="00A83033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Materialidade por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diz respeito a itens que são materiais por suas circunstâncias, de modo que mudam a impressão dada aos usuários. Inclui casos em que um pequeno erro ou não conformidade pode ter um efeito significativo, por exemplo, classificação errada de despes</w:t>
            </w:r>
            <w:r>
              <w:rPr>
                <w:rFonts w:ascii="Arial" w:eastAsia="Arial" w:hAnsi="Arial" w:cs="Arial"/>
                <w:sz w:val="16"/>
                <w:szCs w:val="16"/>
              </w:rPr>
              <w:t>as, mesmo que seu valor não seja material.</w:t>
            </w:r>
          </w:p>
        </w:tc>
      </w:tr>
      <w:tr w:rsidR="00A2179F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2179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Gravando descrições relacionadas a determinação da materialidade:</w:t>
            </w:r>
          </w:p>
          <w:p w:rsidR="00A2179F" w:rsidRDefault="00A83033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1, registre o valor da materialidade quantitativa </w:t>
            </w:r>
          </w:p>
          <w:p w:rsidR="00A2179F" w:rsidRDefault="00A83033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2, registre a memória de cálculo que compõe o valor da materialidade quantitativa, como o valor é derivado e usado como referência. </w:t>
            </w:r>
          </w:p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Sobre a materialidade qualitativa:</w:t>
            </w:r>
          </w:p>
          <w:p w:rsidR="00A2179F" w:rsidRDefault="00A83033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1, registrar a razão pela qual a materialidade por natureza precisa se</w:t>
            </w:r>
            <w:r>
              <w:rPr>
                <w:rFonts w:ascii="Arial" w:eastAsia="Arial" w:hAnsi="Arial" w:cs="Arial"/>
                <w:sz w:val="16"/>
                <w:szCs w:val="16"/>
              </w:rPr>
              <w:t>r considerada durante a auditoria. Esse aspecto particular é crucial na auditoria do setor público.</w:t>
            </w:r>
          </w:p>
          <w:p w:rsidR="00A2179F" w:rsidRDefault="00A83033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2, registrar a razão pela qual a materialidade do contexto precisa ser considerada durante a auditoria. Ocasionalmente, pode se tratar de uma não-c</w:t>
            </w:r>
            <w:r>
              <w:rPr>
                <w:rFonts w:ascii="Arial" w:eastAsia="Arial" w:hAnsi="Arial" w:cs="Arial"/>
                <w:sz w:val="16"/>
                <w:szCs w:val="16"/>
              </w:rPr>
              <w:t>onformidade menor, mas que pode ter um efeito significativo.</w:t>
            </w:r>
          </w:p>
          <w:p w:rsidR="00A2179F" w:rsidRDefault="00A2179F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Ver páginas 84 a 88 do </w:t>
            </w:r>
            <w:hyperlink r:id="rId13"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 de </w:t>
              </w:r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Auditoria de Conformidade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para maiores orientações sobre o preenchimento deste papel de trabalho.</w:t>
            </w:r>
          </w:p>
          <w:p w:rsidR="00A2179F" w:rsidRDefault="00A2179F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2179F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2179F" w:rsidRDefault="00A8303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deve assinar este documento para garantir que ele foi revisado.</w:t>
            </w:r>
          </w:p>
        </w:tc>
      </w:tr>
    </w:tbl>
    <w:p w:rsidR="00A2179F" w:rsidRDefault="00A2179F">
      <w:pPr>
        <w:rPr>
          <w:rFonts w:ascii="Arial" w:eastAsia="Arial" w:hAnsi="Arial" w:cs="Arial"/>
          <w:b/>
          <w:sz w:val="22"/>
          <w:szCs w:val="22"/>
        </w:rPr>
      </w:pPr>
    </w:p>
    <w:sectPr w:rsidR="00A2179F">
      <w:pgSz w:w="11906" w:h="16838"/>
      <w:pgMar w:top="1700" w:right="1133" w:bottom="1700" w:left="113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83033">
      <w:r>
        <w:separator/>
      </w:r>
    </w:p>
  </w:endnote>
  <w:endnote w:type="continuationSeparator" w:id="0">
    <w:p w:rsidR="00000000" w:rsidRDefault="00A8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79F" w:rsidRDefault="00A217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79F" w:rsidRDefault="00A83033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A2179F" w:rsidRDefault="00A83033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79F" w:rsidRDefault="00A217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83033">
      <w:r>
        <w:separator/>
      </w:r>
    </w:p>
  </w:footnote>
  <w:footnote w:type="continuationSeparator" w:id="0">
    <w:p w:rsidR="00000000" w:rsidRDefault="00A83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79F" w:rsidRDefault="00A217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79F" w:rsidRDefault="00A2179F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3"/>
      <w:tblW w:w="107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60"/>
      <w:gridCol w:w="8220"/>
    </w:tblGrid>
    <w:tr w:rsidR="00A2179F">
      <w:trPr>
        <w:trHeight w:val="1418"/>
        <w:jc w:val="center"/>
      </w:trPr>
      <w:tc>
        <w:tcPr>
          <w:tcW w:w="2560" w:type="dxa"/>
          <w:vAlign w:val="center"/>
        </w:tcPr>
        <w:p w:rsidR="00A2179F" w:rsidRDefault="00A8303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33BFB03" wp14:editId="7F194EAB">
                <wp:simplePos x="0" y="0"/>
                <wp:positionH relativeFrom="column">
                  <wp:posOffset>295275</wp:posOffset>
                </wp:positionH>
                <wp:positionV relativeFrom="paragraph">
                  <wp:posOffset>198120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vAlign w:val="center"/>
        </w:tcPr>
        <w:p w:rsidR="00A2179F" w:rsidRDefault="00A830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2179F" w:rsidRDefault="00A830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2179F" w:rsidRDefault="00A830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A2179F" w:rsidRDefault="00A830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A2179F" w:rsidRDefault="00A2179F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A2179F" w:rsidRDefault="00A2179F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3" w:name="_30j0zll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79F" w:rsidRDefault="00A217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61038"/>
    <w:multiLevelType w:val="multilevel"/>
    <w:tmpl w:val="ACC46A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D042B7A"/>
    <w:multiLevelType w:val="multilevel"/>
    <w:tmpl w:val="2C9A7D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B12609D"/>
    <w:multiLevelType w:val="multilevel"/>
    <w:tmpl w:val="61D6E0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79F"/>
    <w:rsid w:val="00A2179F"/>
    <w:rsid w:val="00A8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irbcontas.org.br/wp-content/uploads/2023/11/Manual-de-Implementacao-das-ISSAIs-Auditoria-Conformidade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2025-08-04T14:11:00Z</dcterms:created>
  <dcterms:modified xsi:type="dcterms:W3CDTF">2025-08-04T14:12:00Z</dcterms:modified>
</cp:coreProperties>
</file>